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0C7E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6"/>
      </w:tblGrid>
      <w:tr w:rsidR="00DC25CE" w:rsidRPr="00DC25CE" w14:paraId="398BC961" w14:textId="77777777" w:rsidTr="00C65405">
        <w:trPr>
          <w:jc w:val="center"/>
        </w:trPr>
        <w:tc>
          <w:tcPr>
            <w:tcW w:w="9212" w:type="dxa"/>
          </w:tcPr>
          <w:p w14:paraId="2835F885" w14:textId="745FEF36" w:rsidR="00DC25CE" w:rsidRPr="00DC25CE" w:rsidRDefault="004D2A06" w:rsidP="00C65405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Verdana" w:hAnsi="Verdana"/>
                <w:b/>
                <w:sz w:val="28"/>
                <w:szCs w:val="24"/>
              </w:rPr>
              <w:t xml:space="preserve">Solution de </w:t>
            </w:r>
            <w:r>
              <w:rPr>
                <w:rFonts w:ascii="Verdana" w:hAnsi="Verdana"/>
                <w:b/>
                <w:sz w:val="28"/>
                <w:szCs w:val="24"/>
              </w:rPr>
              <w:br/>
            </w:r>
            <w:r w:rsidR="00313D9A">
              <w:rPr>
                <w:rFonts w:ascii="Verdana" w:hAnsi="Verdana"/>
                <w:b/>
                <w:sz w:val="40"/>
                <w:szCs w:val="36"/>
              </w:rPr>
              <w:t>Soubassement</w:t>
            </w:r>
            <w:r>
              <w:rPr>
                <w:rFonts w:ascii="Verdana" w:hAnsi="Verdana"/>
                <w:b/>
                <w:sz w:val="28"/>
                <w:szCs w:val="24"/>
              </w:rPr>
              <w:br/>
              <w:t>KP1</w:t>
            </w:r>
          </w:p>
        </w:tc>
      </w:tr>
    </w:tbl>
    <w:p w14:paraId="31504D50" w14:textId="77777777" w:rsidR="00C6348A" w:rsidRDefault="00C6348A" w:rsidP="00297638"/>
    <w:p w14:paraId="70B2CB41" w14:textId="77777777" w:rsidR="00C6348A" w:rsidRPr="00DC25CE" w:rsidRDefault="00C6348A" w:rsidP="00297638">
      <w:pPr>
        <w:rPr>
          <w:color w:val="002060"/>
        </w:rPr>
      </w:pPr>
    </w:p>
    <w:p w14:paraId="747AB182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color w:val="002060"/>
          <w:szCs w:val="24"/>
        </w:rPr>
      </w:pPr>
      <w:r w:rsidRPr="00DC25CE">
        <w:rPr>
          <w:rFonts w:ascii="Tahoma" w:hAnsi="Tahoma" w:cs="Tahoma"/>
          <w:b/>
          <w:color w:val="002060"/>
          <w:szCs w:val="24"/>
        </w:rPr>
        <w:t>Descriptif succinct (pour DPGF) :</w:t>
      </w:r>
    </w:p>
    <w:p w14:paraId="21F8C330" w14:textId="77777777" w:rsidR="00DC25CE" w:rsidRPr="00DC25CE" w:rsidRDefault="00DC25CE" w:rsidP="00DC25CE">
      <w:pPr>
        <w:pStyle w:val="Sansinterligne"/>
        <w:rPr>
          <w:rFonts w:ascii="Tahoma" w:hAnsi="Tahoma" w:cs="Tahoma"/>
          <w:color w:val="002060"/>
          <w:szCs w:val="24"/>
        </w:rPr>
      </w:pPr>
    </w:p>
    <w:p w14:paraId="5C67FFC0" w14:textId="7A5749DB" w:rsidR="00C1272B" w:rsidRDefault="00313D9A" w:rsidP="00C1272B">
      <w:pPr>
        <w:pStyle w:val="Sansinterligne"/>
        <w:rPr>
          <w:rFonts w:ascii="Tahoma" w:hAnsi="Tahoma" w:cs="Tahoma"/>
          <w:color w:val="002060"/>
          <w:szCs w:val="24"/>
        </w:rPr>
      </w:pPr>
      <w:r>
        <w:rPr>
          <w:rFonts w:ascii="Tahoma" w:hAnsi="Tahoma" w:cs="Tahoma"/>
          <w:color w:val="002060"/>
          <w:szCs w:val="24"/>
        </w:rPr>
        <w:t>Soubassement constitué</w:t>
      </w:r>
      <w:r w:rsidR="00BB4B5F">
        <w:rPr>
          <w:rFonts w:ascii="Tahoma" w:hAnsi="Tahoma" w:cs="Tahoma"/>
          <w:color w:val="002060"/>
          <w:szCs w:val="24"/>
        </w:rPr>
        <w:t xml:space="preserve"> </w:t>
      </w:r>
      <w:r w:rsidR="009D378F">
        <w:rPr>
          <w:rFonts w:ascii="Tahoma" w:hAnsi="Tahoma" w:cs="Tahoma"/>
          <w:color w:val="002060"/>
          <w:szCs w:val="24"/>
        </w:rPr>
        <w:t>de longrines</w:t>
      </w:r>
      <w:r w:rsidR="009D378F" w:rsidRPr="00C1272B">
        <w:rPr>
          <w:rFonts w:ascii="Tahoma" w:hAnsi="Tahoma" w:cs="Tahoma"/>
          <w:color w:val="002060"/>
          <w:szCs w:val="24"/>
        </w:rPr>
        <w:t xml:space="preserve"> préfabriquées en béton précontraint</w:t>
      </w:r>
      <w:r w:rsidR="009D378F">
        <w:rPr>
          <w:rFonts w:ascii="Tahoma" w:hAnsi="Tahoma" w:cs="Tahoma"/>
          <w:color w:val="002060"/>
          <w:szCs w:val="24"/>
        </w:rPr>
        <w:t>, pouvant être associées à des</w:t>
      </w:r>
      <w:r>
        <w:rPr>
          <w:rFonts w:ascii="Tahoma" w:hAnsi="Tahoma" w:cs="Tahoma"/>
          <w:color w:val="002060"/>
          <w:szCs w:val="24"/>
        </w:rPr>
        <w:t xml:space="preserve"> plots béton </w:t>
      </w:r>
      <w:r w:rsidR="009D378F">
        <w:rPr>
          <w:rFonts w:ascii="Tahoma" w:hAnsi="Tahoma" w:cs="Tahoma"/>
          <w:color w:val="002060"/>
          <w:szCs w:val="24"/>
        </w:rPr>
        <w:t>posés</w:t>
      </w:r>
      <w:r>
        <w:rPr>
          <w:rFonts w:ascii="Tahoma" w:hAnsi="Tahoma" w:cs="Tahoma"/>
          <w:color w:val="002060"/>
          <w:szCs w:val="24"/>
        </w:rPr>
        <w:t xml:space="preserve"> directement sur les fondations </w:t>
      </w:r>
      <w:r w:rsidR="009D378F">
        <w:rPr>
          <w:rFonts w:ascii="Tahoma" w:hAnsi="Tahoma" w:cs="Tahoma"/>
          <w:color w:val="002060"/>
          <w:szCs w:val="24"/>
        </w:rPr>
        <w:t>ponctuelles afin d’en rehausser l’altimétrie</w:t>
      </w:r>
      <w:r w:rsidR="00C1272B" w:rsidRPr="00C1272B">
        <w:rPr>
          <w:rFonts w:ascii="Tahoma" w:hAnsi="Tahoma" w:cs="Tahoma"/>
          <w:color w:val="002060"/>
          <w:szCs w:val="24"/>
        </w:rPr>
        <w:t>.</w:t>
      </w:r>
    </w:p>
    <w:p w14:paraId="4F4157E8" w14:textId="77777777" w:rsidR="00EB0128" w:rsidRDefault="00EB0128" w:rsidP="00C1272B">
      <w:pPr>
        <w:pStyle w:val="Sansinterligne"/>
        <w:rPr>
          <w:rFonts w:ascii="Tahoma" w:hAnsi="Tahoma" w:cs="Tahoma"/>
          <w:color w:val="002060"/>
          <w:szCs w:val="24"/>
        </w:rPr>
      </w:pPr>
    </w:p>
    <w:p w14:paraId="5CB6A72E" w14:textId="0CBE63CA" w:rsidR="00DC25CE" w:rsidRPr="00DC25CE" w:rsidRDefault="00DC25CE" w:rsidP="00DC25CE">
      <w:pPr>
        <w:pStyle w:val="Sansinterligne"/>
        <w:rPr>
          <w:rFonts w:ascii="Tahoma" w:hAnsi="Tahoma" w:cs="Tahoma"/>
          <w:b/>
          <w:szCs w:val="24"/>
        </w:rPr>
      </w:pPr>
      <w:r w:rsidRPr="00DC25CE">
        <w:rPr>
          <w:rFonts w:ascii="Tahoma" w:hAnsi="Tahoma" w:cs="Tahoma"/>
          <w:b/>
          <w:szCs w:val="24"/>
        </w:rPr>
        <w:t>Descriptif Détaillé (pour CCTP) :</w:t>
      </w:r>
    </w:p>
    <w:p w14:paraId="09D7B316" w14:textId="77777777" w:rsidR="00DC25CE" w:rsidRPr="00DC25CE" w:rsidRDefault="00DC25CE" w:rsidP="00DC25CE">
      <w:pPr>
        <w:pStyle w:val="Sansinterligne"/>
        <w:rPr>
          <w:rFonts w:ascii="Tahoma" w:hAnsi="Tahoma" w:cs="Tahoma"/>
          <w:sz w:val="18"/>
        </w:rPr>
      </w:pPr>
    </w:p>
    <w:p w14:paraId="32FE07F8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  <w:b/>
        </w:rPr>
      </w:pPr>
      <w:r w:rsidRPr="00DC25CE">
        <w:rPr>
          <w:rFonts w:ascii="Tahoma" w:hAnsi="Tahoma" w:cs="Tahoma"/>
          <w:b/>
          <w:highlight w:val="cyan"/>
        </w:rPr>
        <w:t>Lots gros œuvre</w:t>
      </w:r>
      <w:r w:rsidRPr="00DC25CE">
        <w:rPr>
          <w:rFonts w:ascii="Tahoma" w:hAnsi="Tahoma" w:cs="Tahoma"/>
          <w:b/>
        </w:rPr>
        <w:t xml:space="preserve"> </w:t>
      </w:r>
    </w:p>
    <w:p w14:paraId="568478AE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</w:p>
    <w:p w14:paraId="65688F93" w14:textId="2DADFE2E" w:rsidR="005D641D" w:rsidRDefault="005D641D" w:rsidP="001D79E9">
      <w:pPr>
        <w:jc w:val="both"/>
        <w:rPr>
          <w:rFonts w:ascii="Tahoma" w:eastAsia="Times New Roman" w:hAnsi="Tahoma" w:cs="Tahoma"/>
          <w:sz w:val="22"/>
          <w:szCs w:val="22"/>
          <w:lang w:eastAsia="fr-FR"/>
        </w:rPr>
      </w:pPr>
      <w:r>
        <w:rPr>
          <w:rFonts w:ascii="Tahoma" w:eastAsia="Times New Roman" w:hAnsi="Tahoma" w:cs="Tahoma"/>
          <w:sz w:val="22"/>
          <w:szCs w:val="22"/>
          <w:lang w:eastAsia="fr-FR"/>
        </w:rPr>
        <w:t>Les longrines du soubassement</w:t>
      </w:r>
      <w:r w:rsidR="009D378F">
        <w:rPr>
          <w:rFonts w:ascii="Tahoma" w:eastAsia="Times New Roman" w:hAnsi="Tahoma" w:cs="Tahoma"/>
          <w:sz w:val="22"/>
          <w:szCs w:val="22"/>
          <w:lang w:eastAsia="fr-FR"/>
        </w:rPr>
        <w:t xml:space="preserve"> KP1</w:t>
      </w:r>
      <w:r>
        <w:rPr>
          <w:rFonts w:ascii="Tahoma" w:eastAsia="Times New Roman" w:hAnsi="Tahoma" w:cs="Tahoma"/>
          <w:sz w:val="22"/>
          <w:szCs w:val="22"/>
          <w:lang w:eastAsia="fr-FR"/>
        </w:rPr>
        <w:t xml:space="preserve"> seront dimensionnée</w:t>
      </w:r>
      <w:r w:rsidR="00885415">
        <w:rPr>
          <w:rFonts w:ascii="Tahoma" w:eastAsia="Times New Roman" w:hAnsi="Tahoma" w:cs="Tahoma"/>
          <w:sz w:val="22"/>
          <w:szCs w:val="22"/>
          <w:lang w:eastAsia="fr-FR"/>
        </w:rPr>
        <w:t>s</w:t>
      </w:r>
      <w:r>
        <w:rPr>
          <w:rFonts w:ascii="Tahoma" w:eastAsia="Times New Roman" w:hAnsi="Tahoma" w:cs="Tahoma"/>
          <w:sz w:val="22"/>
          <w:szCs w:val="22"/>
          <w:lang w:eastAsia="fr-FR"/>
        </w:rPr>
        <w:t xml:space="preserve"> selon les données technique</w:t>
      </w:r>
      <w:r w:rsidR="00E3032F">
        <w:rPr>
          <w:rFonts w:ascii="Tahoma" w:eastAsia="Times New Roman" w:hAnsi="Tahoma" w:cs="Tahoma"/>
          <w:sz w:val="22"/>
          <w:szCs w:val="22"/>
          <w:lang w:eastAsia="fr-FR"/>
        </w:rPr>
        <w:t>s</w:t>
      </w:r>
      <w:r>
        <w:rPr>
          <w:rFonts w:ascii="Tahoma" w:eastAsia="Times New Roman" w:hAnsi="Tahoma" w:cs="Tahoma"/>
          <w:sz w:val="22"/>
          <w:szCs w:val="22"/>
          <w:lang w:eastAsia="fr-FR"/>
        </w:rPr>
        <w:t xml:space="preserve"> de l’ouvrage et la note de calcul du </w:t>
      </w:r>
      <w:r w:rsidR="009D378F">
        <w:rPr>
          <w:rFonts w:ascii="Tahoma" w:eastAsia="Times New Roman" w:hAnsi="Tahoma" w:cs="Tahoma"/>
          <w:sz w:val="22"/>
          <w:szCs w:val="22"/>
          <w:lang w:eastAsia="fr-FR"/>
        </w:rPr>
        <w:t>B</w:t>
      </w:r>
      <w:r>
        <w:rPr>
          <w:rFonts w:ascii="Tahoma" w:eastAsia="Times New Roman" w:hAnsi="Tahoma" w:cs="Tahoma"/>
          <w:sz w:val="22"/>
          <w:szCs w:val="22"/>
          <w:lang w:eastAsia="fr-FR"/>
        </w:rPr>
        <w:t>ureau d’Etudes.</w:t>
      </w:r>
    </w:p>
    <w:p w14:paraId="11959AB9" w14:textId="77777777" w:rsidR="005D641D" w:rsidRDefault="005D641D" w:rsidP="001D79E9">
      <w:pPr>
        <w:jc w:val="both"/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6C0B723C" w14:textId="35810DD2" w:rsidR="00853AEC" w:rsidRDefault="005D641D" w:rsidP="001D79E9">
      <w:pPr>
        <w:jc w:val="both"/>
        <w:rPr>
          <w:rFonts w:ascii="Tahoma" w:eastAsia="Times New Roman" w:hAnsi="Tahoma" w:cs="Tahoma"/>
          <w:sz w:val="22"/>
          <w:szCs w:val="22"/>
          <w:lang w:eastAsia="fr-FR"/>
        </w:rPr>
      </w:pPr>
      <w:r>
        <w:rPr>
          <w:rFonts w:ascii="Tahoma" w:eastAsia="Times New Roman" w:hAnsi="Tahoma" w:cs="Tahoma"/>
          <w:sz w:val="22"/>
          <w:szCs w:val="22"/>
          <w:lang w:eastAsia="fr-FR"/>
        </w:rPr>
        <w:t xml:space="preserve">Sur chantier les plots béton </w:t>
      </w:r>
      <w:r w:rsidR="009D378F">
        <w:rPr>
          <w:rFonts w:ascii="Tahoma" w:eastAsia="Times New Roman" w:hAnsi="Tahoma" w:cs="Tahoma"/>
          <w:sz w:val="22"/>
          <w:szCs w:val="22"/>
          <w:lang w:eastAsia="fr-FR"/>
        </w:rPr>
        <w:t xml:space="preserve">BASIK KP1 pourront venir rehausser l’altimétrie des fondations. Ils </w:t>
      </w:r>
      <w:r>
        <w:rPr>
          <w:rFonts w:ascii="Tahoma" w:eastAsia="Times New Roman" w:hAnsi="Tahoma" w:cs="Tahoma"/>
          <w:sz w:val="22"/>
          <w:szCs w:val="22"/>
          <w:lang w:eastAsia="fr-FR"/>
        </w:rPr>
        <w:t>viendront se poser di</w:t>
      </w:r>
      <w:r w:rsidR="00E3032F">
        <w:rPr>
          <w:rFonts w:ascii="Tahoma" w:eastAsia="Times New Roman" w:hAnsi="Tahoma" w:cs="Tahoma"/>
          <w:sz w:val="22"/>
          <w:szCs w:val="22"/>
          <w:lang w:eastAsia="fr-FR"/>
        </w:rPr>
        <w:t>rectement sur les fondations</w:t>
      </w:r>
      <w:r w:rsidR="009D378F">
        <w:rPr>
          <w:rFonts w:ascii="Tahoma" w:eastAsia="Times New Roman" w:hAnsi="Tahoma" w:cs="Tahoma"/>
          <w:sz w:val="22"/>
          <w:szCs w:val="22"/>
          <w:lang w:eastAsia="fr-FR"/>
        </w:rPr>
        <w:t xml:space="preserve"> ponctuelles</w:t>
      </w:r>
      <w:r w:rsidR="00E3032F">
        <w:rPr>
          <w:rFonts w:ascii="Tahoma" w:eastAsia="Times New Roman" w:hAnsi="Tahoma" w:cs="Tahoma"/>
          <w:sz w:val="22"/>
          <w:szCs w:val="22"/>
          <w:lang w:eastAsia="fr-FR"/>
        </w:rPr>
        <w:t>. Sur ce</w:t>
      </w:r>
      <w:r w:rsidR="00853AEC">
        <w:rPr>
          <w:rFonts w:ascii="Tahoma" w:eastAsia="Times New Roman" w:hAnsi="Tahoma" w:cs="Tahoma"/>
          <w:sz w:val="22"/>
          <w:szCs w:val="22"/>
          <w:lang w:eastAsia="fr-FR"/>
        </w:rPr>
        <w:t>s</w:t>
      </w:r>
      <w:r w:rsidR="00E3032F">
        <w:rPr>
          <w:rFonts w:ascii="Tahoma" w:eastAsia="Times New Roman" w:hAnsi="Tahoma" w:cs="Tahoma"/>
          <w:sz w:val="22"/>
          <w:szCs w:val="22"/>
          <w:lang w:eastAsia="fr-FR"/>
        </w:rPr>
        <w:t xml:space="preserve"> plot</w:t>
      </w:r>
      <w:r w:rsidR="00853AEC">
        <w:rPr>
          <w:rFonts w:ascii="Tahoma" w:eastAsia="Times New Roman" w:hAnsi="Tahoma" w:cs="Tahoma"/>
          <w:sz w:val="22"/>
          <w:szCs w:val="22"/>
          <w:lang w:eastAsia="fr-FR"/>
        </w:rPr>
        <w:t>s,</w:t>
      </w:r>
      <w:r w:rsidR="00E3032F">
        <w:rPr>
          <w:rFonts w:ascii="Tahoma" w:eastAsia="Times New Roman" w:hAnsi="Tahoma" w:cs="Tahoma"/>
          <w:sz w:val="22"/>
          <w:szCs w:val="22"/>
          <w:lang w:eastAsia="fr-FR"/>
        </w:rPr>
        <w:t xml:space="preserve"> un capot béton sera positionné, il permet de coffrer horizontalement le</w:t>
      </w:r>
      <w:r w:rsidR="00853AEC">
        <w:rPr>
          <w:rFonts w:ascii="Tahoma" w:eastAsia="Times New Roman" w:hAnsi="Tahoma" w:cs="Tahoma"/>
          <w:sz w:val="22"/>
          <w:szCs w:val="22"/>
          <w:lang w:eastAsia="fr-FR"/>
        </w:rPr>
        <w:t>s</w:t>
      </w:r>
      <w:r w:rsidR="00E3032F">
        <w:rPr>
          <w:rFonts w:ascii="Tahoma" w:eastAsia="Times New Roman" w:hAnsi="Tahoma" w:cs="Tahoma"/>
          <w:sz w:val="22"/>
          <w:szCs w:val="22"/>
          <w:lang w:eastAsia="fr-FR"/>
        </w:rPr>
        <w:t xml:space="preserve"> plots tout en faisant passer les attentes.</w:t>
      </w:r>
    </w:p>
    <w:p w14:paraId="231CADAF" w14:textId="0E2A4B01" w:rsidR="005D641D" w:rsidRDefault="00E3032F" w:rsidP="001D79E9">
      <w:pPr>
        <w:jc w:val="both"/>
        <w:rPr>
          <w:rFonts w:ascii="Tahoma" w:eastAsia="Times New Roman" w:hAnsi="Tahoma" w:cs="Tahoma"/>
          <w:sz w:val="22"/>
          <w:szCs w:val="22"/>
          <w:lang w:eastAsia="fr-FR"/>
        </w:rPr>
      </w:pPr>
      <w:r>
        <w:rPr>
          <w:rFonts w:ascii="Tahoma" w:eastAsia="Times New Roman" w:hAnsi="Tahoma" w:cs="Tahoma"/>
          <w:sz w:val="22"/>
          <w:szCs w:val="22"/>
          <w:lang w:eastAsia="fr-FR"/>
        </w:rPr>
        <w:t>Par la suite, les longrines pourront être mise</w:t>
      </w:r>
      <w:r w:rsidR="00853AEC">
        <w:rPr>
          <w:rFonts w:ascii="Tahoma" w:eastAsia="Times New Roman" w:hAnsi="Tahoma" w:cs="Tahoma"/>
          <w:sz w:val="22"/>
          <w:szCs w:val="22"/>
          <w:lang w:eastAsia="fr-FR"/>
        </w:rPr>
        <w:t>s</w:t>
      </w:r>
      <w:r>
        <w:rPr>
          <w:rFonts w:ascii="Tahoma" w:eastAsia="Times New Roman" w:hAnsi="Tahoma" w:cs="Tahoma"/>
          <w:sz w:val="22"/>
          <w:szCs w:val="22"/>
          <w:lang w:eastAsia="fr-FR"/>
        </w:rPr>
        <w:t xml:space="preserve"> en œuvre.</w:t>
      </w:r>
      <w:r w:rsidR="00853AEC">
        <w:rPr>
          <w:rFonts w:ascii="Tahoma" w:eastAsia="Times New Roman" w:hAnsi="Tahoma" w:cs="Tahoma"/>
          <w:sz w:val="22"/>
          <w:szCs w:val="22"/>
          <w:lang w:eastAsia="fr-FR"/>
        </w:rPr>
        <w:t xml:space="preserve"> </w:t>
      </w:r>
      <w:r w:rsidR="00853AEC" w:rsidRPr="00853AEC">
        <w:rPr>
          <w:rFonts w:ascii="Tahoma" w:eastAsia="Times New Roman" w:hAnsi="Tahoma" w:cs="Tahoma"/>
          <w:sz w:val="22"/>
          <w:szCs w:val="22"/>
          <w:lang w:eastAsia="fr-FR"/>
        </w:rPr>
        <w:t xml:space="preserve">Une attention particulière doit être apportée </w:t>
      </w:r>
      <w:r w:rsidR="00853AEC">
        <w:rPr>
          <w:rFonts w:ascii="Tahoma" w:eastAsia="Times New Roman" w:hAnsi="Tahoma" w:cs="Tahoma"/>
          <w:sz w:val="22"/>
          <w:szCs w:val="22"/>
          <w:lang w:eastAsia="fr-FR"/>
        </w:rPr>
        <w:t>à l’appui suffisant de la longrine sur le capot et aux</w:t>
      </w:r>
      <w:r w:rsidR="00853AEC" w:rsidRPr="00853AEC">
        <w:rPr>
          <w:rFonts w:ascii="Tahoma" w:eastAsia="Times New Roman" w:hAnsi="Tahoma" w:cs="Tahoma"/>
          <w:sz w:val="22"/>
          <w:szCs w:val="22"/>
          <w:lang w:eastAsia="fr-FR"/>
        </w:rPr>
        <w:t xml:space="preserve"> aciers, conformément aux préconisations de pose du fabricant.</w:t>
      </w:r>
    </w:p>
    <w:p w14:paraId="1E5F72FF" w14:textId="77777777" w:rsidR="009D378F" w:rsidRDefault="009D378F" w:rsidP="001D79E9">
      <w:pPr>
        <w:jc w:val="both"/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04FB0C31" w14:textId="6D6A6033" w:rsidR="009D378F" w:rsidRPr="00994EA3" w:rsidRDefault="009D378F" w:rsidP="009D378F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994EA3">
        <w:rPr>
          <w:rFonts w:ascii="Tahoma" w:eastAsia="Times New Roman" w:hAnsi="Tahoma" w:cs="Tahoma"/>
          <w:sz w:val="22"/>
          <w:szCs w:val="22"/>
          <w:lang w:eastAsia="fr-FR"/>
        </w:rPr>
        <w:t xml:space="preserve">La mise en œuvre sera effectuée en toute sécurité et avec tout moyen de manutention adapté, éléments additionnels « boucles de levage incorporées </w:t>
      </w:r>
      <w:r w:rsidR="008560CF">
        <w:rPr>
          <w:rFonts w:ascii="Tahoma" w:eastAsia="Times New Roman" w:hAnsi="Tahoma" w:cs="Tahoma"/>
          <w:sz w:val="22"/>
          <w:szCs w:val="22"/>
          <w:lang w:eastAsia="fr-FR"/>
        </w:rPr>
        <w:t>KP</w:t>
      </w:r>
      <w:r w:rsidRPr="00994EA3">
        <w:rPr>
          <w:rFonts w:ascii="Tahoma" w:eastAsia="Times New Roman" w:hAnsi="Tahoma" w:cs="Tahoma"/>
          <w:sz w:val="22"/>
          <w:szCs w:val="22"/>
          <w:lang w:eastAsia="fr-FR"/>
        </w:rPr>
        <w:t>1 » ou similaire et se fera conformément au DTU 23.3, au fascicule 65 et la fiche OPPBTP.</w:t>
      </w:r>
    </w:p>
    <w:p w14:paraId="1B32D3A7" w14:textId="77777777" w:rsidR="009D378F" w:rsidRDefault="009D378F" w:rsidP="001D79E9">
      <w:pPr>
        <w:jc w:val="both"/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3632550C" w14:textId="42BCADAB" w:rsidR="00E3032F" w:rsidRDefault="009D378F" w:rsidP="001D79E9">
      <w:pPr>
        <w:jc w:val="both"/>
        <w:rPr>
          <w:rFonts w:ascii="Tahoma" w:eastAsia="Times New Roman" w:hAnsi="Tahoma" w:cs="Tahoma"/>
          <w:sz w:val="22"/>
          <w:szCs w:val="22"/>
          <w:lang w:eastAsia="fr-FR"/>
        </w:rPr>
      </w:pPr>
      <w:r>
        <w:rPr>
          <w:rFonts w:ascii="Tahoma" w:eastAsia="Times New Roman" w:hAnsi="Tahoma" w:cs="Tahoma"/>
          <w:sz w:val="22"/>
          <w:szCs w:val="22"/>
          <w:lang w:eastAsia="fr-FR"/>
        </w:rPr>
        <w:t xml:space="preserve">Les plots béton BASIK KP1 présentent des performances mécaniques, justifiées par une campagne d’essais réalisés au CERIB, </w:t>
      </w:r>
      <w:r w:rsidR="008560CF">
        <w:rPr>
          <w:rFonts w:ascii="Tahoma" w:eastAsia="Times New Roman" w:hAnsi="Tahoma" w:cs="Tahoma"/>
          <w:sz w:val="22"/>
          <w:szCs w:val="22"/>
          <w:lang w:eastAsia="fr-FR"/>
        </w:rPr>
        <w:t xml:space="preserve">cela </w:t>
      </w:r>
      <w:r>
        <w:rPr>
          <w:rFonts w:ascii="Tahoma" w:eastAsia="Times New Roman" w:hAnsi="Tahoma" w:cs="Tahoma"/>
          <w:sz w:val="22"/>
          <w:szCs w:val="22"/>
          <w:lang w:eastAsia="fr-FR"/>
        </w:rPr>
        <w:t xml:space="preserve">permet d’envisager la pose des longrines avant </w:t>
      </w:r>
      <w:r w:rsidR="008560CF">
        <w:rPr>
          <w:rFonts w:ascii="Tahoma" w:eastAsia="Times New Roman" w:hAnsi="Tahoma" w:cs="Tahoma"/>
          <w:sz w:val="22"/>
          <w:szCs w:val="22"/>
          <w:lang w:eastAsia="fr-FR"/>
        </w:rPr>
        <w:t xml:space="preserve">le </w:t>
      </w:r>
      <w:r>
        <w:rPr>
          <w:rFonts w:ascii="Tahoma" w:eastAsia="Times New Roman" w:hAnsi="Tahoma" w:cs="Tahoma"/>
          <w:sz w:val="22"/>
          <w:szCs w:val="22"/>
          <w:lang w:eastAsia="fr-FR"/>
        </w:rPr>
        <w:t xml:space="preserve">coulage des plots. </w:t>
      </w:r>
      <w:r w:rsidR="00E3032F">
        <w:rPr>
          <w:rFonts w:ascii="Tahoma" w:eastAsia="Times New Roman" w:hAnsi="Tahoma" w:cs="Tahoma"/>
          <w:sz w:val="22"/>
          <w:szCs w:val="22"/>
          <w:lang w:eastAsia="fr-FR"/>
        </w:rPr>
        <w:t>Les plots et les clavetages de longrines seront remplis</w:t>
      </w:r>
      <w:r>
        <w:rPr>
          <w:rFonts w:ascii="Tahoma" w:eastAsia="Times New Roman" w:hAnsi="Tahoma" w:cs="Tahoma"/>
          <w:sz w:val="22"/>
          <w:szCs w:val="22"/>
          <w:lang w:eastAsia="fr-FR"/>
        </w:rPr>
        <w:t xml:space="preserve"> en même temps, avec</w:t>
      </w:r>
      <w:r w:rsidR="00E3032F">
        <w:rPr>
          <w:rFonts w:ascii="Tahoma" w:eastAsia="Times New Roman" w:hAnsi="Tahoma" w:cs="Tahoma"/>
          <w:sz w:val="22"/>
          <w:szCs w:val="22"/>
          <w:lang w:eastAsia="fr-FR"/>
        </w:rPr>
        <w:t xml:space="preserve"> </w:t>
      </w:r>
      <w:r w:rsidR="00E3032F" w:rsidRPr="00E3032F">
        <w:rPr>
          <w:rFonts w:ascii="Tahoma" w:eastAsia="Times New Roman" w:hAnsi="Tahoma" w:cs="Tahoma"/>
          <w:sz w:val="22"/>
          <w:szCs w:val="22"/>
          <w:lang w:eastAsia="fr-FR"/>
        </w:rPr>
        <w:t>un béton de classe de résistance à la compression C25/30 MPa selon la définition du DTU 21.</w:t>
      </w:r>
    </w:p>
    <w:p w14:paraId="7EAA1759" w14:textId="77777777" w:rsidR="00E3032F" w:rsidRDefault="00E3032F" w:rsidP="001D79E9">
      <w:pPr>
        <w:jc w:val="both"/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304272CF" w14:textId="28D21565" w:rsidR="005822F7" w:rsidRDefault="00853AEC" w:rsidP="003E1CEC">
      <w:pPr>
        <w:jc w:val="both"/>
        <w:rPr>
          <w:rFonts w:ascii="Tahoma" w:eastAsia="Times New Roman" w:hAnsi="Tahoma" w:cs="Tahoma"/>
          <w:sz w:val="22"/>
          <w:szCs w:val="22"/>
          <w:lang w:eastAsia="fr-FR"/>
        </w:rPr>
      </w:pPr>
      <w:r w:rsidRPr="00853AEC">
        <w:rPr>
          <w:rFonts w:ascii="Tahoma" w:eastAsia="Times New Roman" w:hAnsi="Tahoma" w:cs="Tahoma"/>
          <w:sz w:val="22"/>
          <w:szCs w:val="22"/>
          <w:lang w:eastAsia="fr-FR"/>
        </w:rPr>
        <w:t>L</w:t>
      </w:r>
      <w:r w:rsidR="009D378F">
        <w:rPr>
          <w:rFonts w:ascii="Tahoma" w:eastAsia="Times New Roman" w:hAnsi="Tahoma" w:cs="Tahoma"/>
          <w:sz w:val="22"/>
          <w:szCs w:val="22"/>
          <w:lang w:eastAsia="fr-FR"/>
        </w:rPr>
        <w:t>es longrines de soubassement KP1 pourront être équipées de</w:t>
      </w:r>
      <w:r w:rsidRPr="00853AEC">
        <w:rPr>
          <w:rFonts w:ascii="Tahoma" w:eastAsia="Times New Roman" w:hAnsi="Tahoma" w:cs="Tahoma"/>
          <w:sz w:val="22"/>
          <w:szCs w:val="22"/>
          <w:lang w:eastAsia="fr-FR"/>
        </w:rPr>
        <w:t xml:space="preserve"> becquet</w:t>
      </w:r>
      <w:r w:rsidR="009D378F">
        <w:rPr>
          <w:rFonts w:ascii="Tahoma" w:eastAsia="Times New Roman" w:hAnsi="Tahoma" w:cs="Tahoma"/>
          <w:sz w:val="22"/>
          <w:szCs w:val="22"/>
          <w:lang w:eastAsia="fr-FR"/>
        </w:rPr>
        <w:t>s</w:t>
      </w:r>
      <w:r w:rsidRPr="00853AEC">
        <w:rPr>
          <w:rFonts w:ascii="Tahoma" w:eastAsia="Times New Roman" w:hAnsi="Tahoma" w:cs="Tahoma"/>
          <w:sz w:val="22"/>
          <w:szCs w:val="22"/>
          <w:lang w:eastAsia="fr-FR"/>
        </w:rPr>
        <w:t xml:space="preserve"> longitudina</w:t>
      </w:r>
      <w:r w:rsidR="009D378F">
        <w:rPr>
          <w:rFonts w:ascii="Tahoma" w:eastAsia="Times New Roman" w:hAnsi="Tahoma" w:cs="Tahoma"/>
          <w:sz w:val="22"/>
          <w:szCs w:val="22"/>
          <w:lang w:eastAsia="fr-FR"/>
        </w:rPr>
        <w:t>ux, permettant de coffrer la rive du plancher,</w:t>
      </w:r>
      <w:r w:rsidRPr="00853AEC">
        <w:rPr>
          <w:rFonts w:ascii="Tahoma" w:eastAsia="Times New Roman" w:hAnsi="Tahoma" w:cs="Tahoma"/>
          <w:sz w:val="22"/>
          <w:szCs w:val="22"/>
          <w:lang w:eastAsia="fr-FR"/>
        </w:rPr>
        <w:t xml:space="preserve"> pour une facilité de mise en œuvre de coulage d’une structure plancher associée.</w:t>
      </w:r>
    </w:p>
    <w:p w14:paraId="79E40520" w14:textId="77777777" w:rsidR="00853AEC" w:rsidRDefault="00853AEC" w:rsidP="003E1CEC">
      <w:pPr>
        <w:jc w:val="both"/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23FB8C66" w14:textId="77777777" w:rsidR="00C45D26" w:rsidRDefault="00C45D26" w:rsidP="00635C6E">
      <w:pPr>
        <w:rPr>
          <w:rFonts w:ascii="Tahoma" w:eastAsia="Times New Roman" w:hAnsi="Tahoma" w:cs="Tahoma"/>
          <w:b/>
          <w:bCs/>
          <w:sz w:val="22"/>
          <w:szCs w:val="22"/>
          <w:highlight w:val="cyan"/>
          <w:lang w:eastAsia="fr-FR"/>
        </w:rPr>
      </w:pPr>
    </w:p>
    <w:p w14:paraId="0659E13D" w14:textId="77777777" w:rsidR="00635C6E" w:rsidRPr="00FC335A" w:rsidRDefault="00635C6E" w:rsidP="005822F7">
      <w:pPr>
        <w:jc w:val="both"/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4FAD6BE9" w14:textId="77777777" w:rsidR="00C1272B" w:rsidRPr="00C1272B" w:rsidRDefault="00C1272B" w:rsidP="00C1272B">
      <w:pPr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1579248B" w14:textId="5B394C9B" w:rsidR="00137EF9" w:rsidRPr="00B96FB5" w:rsidRDefault="00137EF9" w:rsidP="00C1272B">
      <w:pPr>
        <w:rPr>
          <w:rFonts w:ascii="Tahoma" w:eastAsia="Calibri" w:hAnsi="Tahoma" w:cs="Tahoma"/>
          <w:sz w:val="22"/>
          <w:szCs w:val="22"/>
        </w:rPr>
      </w:pPr>
    </w:p>
    <w:sectPr w:rsidR="00137EF9" w:rsidRPr="00B96FB5" w:rsidSect="003B0D6D">
      <w:headerReference w:type="default" r:id="rId8"/>
      <w:footerReference w:type="default" r:id="rId9"/>
      <w:pgSz w:w="11900" w:h="16840"/>
      <w:pgMar w:top="2410" w:right="1417" w:bottom="1417" w:left="1417" w:header="851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C34D" w14:textId="77777777" w:rsidR="002A7BC7" w:rsidRDefault="002A7BC7" w:rsidP="00A70889">
      <w:r>
        <w:separator/>
      </w:r>
    </w:p>
  </w:endnote>
  <w:endnote w:type="continuationSeparator" w:id="0">
    <w:p w14:paraId="7309651B" w14:textId="77777777" w:rsidR="002A7BC7" w:rsidRDefault="002A7BC7" w:rsidP="00A7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F8E6" w14:textId="77777777" w:rsidR="00297638" w:rsidRDefault="00C6348A" w:rsidP="00297638">
    <w:pPr>
      <w:pStyle w:val="Pieddepage"/>
      <w:ind w:hanging="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656BC" wp14:editId="661A5092">
              <wp:simplePos x="0" y="0"/>
              <wp:positionH relativeFrom="column">
                <wp:posOffset>476250</wp:posOffset>
              </wp:positionH>
              <wp:positionV relativeFrom="paragraph">
                <wp:posOffset>159385</wp:posOffset>
              </wp:positionV>
              <wp:extent cx="4229100" cy="48577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753D6" w14:textId="77777777" w:rsidR="00457032" w:rsidRPr="00457032" w:rsidRDefault="00457032" w:rsidP="00457032">
                          <w:pPr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</w:pPr>
                          <w:r w:rsidRPr="00457032"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  <w:t>Siège social KP1 – Tél. 04 32 75 12 00</w:t>
                          </w:r>
                        </w:p>
                        <w:p w14:paraId="3AA7FBCE" w14:textId="77777777" w:rsid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91, Allée des Fenaisons – 84000 Avignon</w:t>
                          </w:r>
                        </w:p>
                        <w:p w14:paraId="5973D71D" w14:textId="77777777" w:rsidR="00457032" w:rsidRP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SAS au capital de 24 583 860 euros – RCS Avignon 976 320 309 – Code NAF : 2361Z</w:t>
                          </w:r>
                        </w:p>
                        <w:p w14:paraId="4C10661A" w14:textId="77777777" w:rsidR="00C6348A" w:rsidRPr="00457032" w:rsidRDefault="00C6348A" w:rsidP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  <w:p w14:paraId="2C29C2DF" w14:textId="77777777" w:rsidR="00C6348A" w:rsidRPr="00457032" w:rsidRDefault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96656B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37.5pt;margin-top:12.55pt;width:33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xaFwIAACw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" filled="f" stroked="f" strokeweight=".5pt">
              <v:textbox>
                <w:txbxContent>
                  <w:p w14:paraId="388753D6" w14:textId="77777777" w:rsidR="00457032" w:rsidRPr="00457032" w:rsidRDefault="00457032" w:rsidP="00457032">
                    <w:pPr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</w:pPr>
                    <w:r w:rsidRPr="00457032"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  <w:t>Siège social KP1 – Tél. 04 32 75 12 00</w:t>
                    </w:r>
                  </w:p>
                  <w:p w14:paraId="3AA7FBCE" w14:textId="77777777" w:rsid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91, Allée des Fenaisons – 84000 Avignon</w:t>
                    </w:r>
                  </w:p>
                  <w:p w14:paraId="5973D71D" w14:textId="77777777" w:rsidR="00457032" w:rsidRP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SAS au capital de 24 583 860 euros – RCS Avignon 976 320 309 – Code NAF : 2361Z</w:t>
                    </w:r>
                  </w:p>
                  <w:p w14:paraId="4C10661A" w14:textId="77777777" w:rsidR="00C6348A" w:rsidRPr="00457032" w:rsidRDefault="00C6348A" w:rsidP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  <w:p w14:paraId="2C29C2DF" w14:textId="77777777" w:rsidR="00C6348A" w:rsidRPr="00457032" w:rsidRDefault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9328D">
      <w:rPr>
        <w:noProof/>
      </w:rPr>
      <w:drawing>
        <wp:inline distT="0" distB="0" distL="0" distR="0" wp14:anchorId="1A91EEFF" wp14:editId="6B8A6D13">
          <wp:extent cx="6953310" cy="684000"/>
          <wp:effectExtent l="0" t="0" r="0" b="1905"/>
          <wp:docPr id="571811629" name="Image 57181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P1 - bas de page 195mm sans adress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" t="20047" r="1253" b="9306"/>
                  <a:stretch/>
                </pic:blipFill>
                <pic:spPr bwMode="auto">
                  <a:xfrm>
                    <a:off x="0" y="0"/>
                    <a:ext cx="6980731" cy="6866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3C6068" w14:textId="77777777" w:rsidR="00A70889" w:rsidRDefault="00A708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7104" w14:textId="77777777" w:rsidR="002A7BC7" w:rsidRDefault="002A7BC7" w:rsidP="00A70889">
      <w:r>
        <w:separator/>
      </w:r>
    </w:p>
  </w:footnote>
  <w:footnote w:type="continuationSeparator" w:id="0">
    <w:p w14:paraId="5E27F16E" w14:textId="77777777" w:rsidR="002A7BC7" w:rsidRDefault="002A7BC7" w:rsidP="00A7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EE01" w14:textId="77777777" w:rsidR="00297638" w:rsidRDefault="0059328D">
    <w:pPr>
      <w:pStyle w:val="En-tte"/>
    </w:pPr>
    <w:r>
      <w:rPr>
        <w:noProof/>
      </w:rPr>
      <w:drawing>
        <wp:inline distT="0" distB="0" distL="0" distR="0" wp14:anchorId="4F2B9A3D" wp14:editId="56C908E0">
          <wp:extent cx="1425555" cy="612000"/>
          <wp:effectExtent l="0" t="0" r="0" b="0"/>
          <wp:docPr id="688244255" name="Image 688244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P1 2022 - BLEU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8" t="28683" r="12188" b="25559"/>
                  <a:stretch/>
                </pic:blipFill>
                <pic:spPr bwMode="auto">
                  <a:xfrm>
                    <a:off x="0" y="0"/>
                    <a:ext cx="1458087" cy="625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7405"/>
    <w:multiLevelType w:val="hybridMultilevel"/>
    <w:tmpl w:val="6840F562"/>
    <w:lvl w:ilvl="0" w:tplc="982EC54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333D6"/>
    <w:multiLevelType w:val="hybridMultilevel"/>
    <w:tmpl w:val="3E001226"/>
    <w:lvl w:ilvl="0" w:tplc="D3FCEF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720FE"/>
    <w:multiLevelType w:val="hybridMultilevel"/>
    <w:tmpl w:val="753E5584"/>
    <w:lvl w:ilvl="0" w:tplc="62FCBE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64D01"/>
    <w:multiLevelType w:val="hybridMultilevel"/>
    <w:tmpl w:val="9F6A3CEE"/>
    <w:lvl w:ilvl="0" w:tplc="082240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144551">
    <w:abstractNumId w:val="2"/>
  </w:num>
  <w:num w:numId="2" w16cid:durableId="1992900990">
    <w:abstractNumId w:val="2"/>
  </w:num>
  <w:num w:numId="3" w16cid:durableId="347751903">
    <w:abstractNumId w:val="1"/>
  </w:num>
  <w:num w:numId="4" w16cid:durableId="2039237198">
    <w:abstractNumId w:val="3"/>
  </w:num>
  <w:num w:numId="5" w16cid:durableId="8658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53"/>
    <w:rsid w:val="00012EA2"/>
    <w:rsid w:val="00014E90"/>
    <w:rsid w:val="00027313"/>
    <w:rsid w:val="00033899"/>
    <w:rsid w:val="000C199B"/>
    <w:rsid w:val="000C4875"/>
    <w:rsid w:val="000D69BC"/>
    <w:rsid w:val="00137EF9"/>
    <w:rsid w:val="00153866"/>
    <w:rsid w:val="00166AD1"/>
    <w:rsid w:val="001A3095"/>
    <w:rsid w:val="001B4AA1"/>
    <w:rsid w:val="001C5A99"/>
    <w:rsid w:val="001D79E9"/>
    <w:rsid w:val="001E63B2"/>
    <w:rsid w:val="001F4718"/>
    <w:rsid w:val="0022444A"/>
    <w:rsid w:val="00235BB0"/>
    <w:rsid w:val="0025562C"/>
    <w:rsid w:val="00295D3B"/>
    <w:rsid w:val="00297638"/>
    <w:rsid w:val="002A7BC7"/>
    <w:rsid w:val="002E4866"/>
    <w:rsid w:val="00313D9A"/>
    <w:rsid w:val="00353956"/>
    <w:rsid w:val="00364B46"/>
    <w:rsid w:val="003B0D6D"/>
    <w:rsid w:val="003E1CEC"/>
    <w:rsid w:val="00436DD8"/>
    <w:rsid w:val="00457032"/>
    <w:rsid w:val="00470028"/>
    <w:rsid w:val="004D2A06"/>
    <w:rsid w:val="004F5252"/>
    <w:rsid w:val="00520B9E"/>
    <w:rsid w:val="00543E7B"/>
    <w:rsid w:val="005665F6"/>
    <w:rsid w:val="005822F7"/>
    <w:rsid w:val="0059328D"/>
    <w:rsid w:val="00595CC7"/>
    <w:rsid w:val="005D641D"/>
    <w:rsid w:val="005E6123"/>
    <w:rsid w:val="00613A50"/>
    <w:rsid w:val="00613ED3"/>
    <w:rsid w:val="00635C6E"/>
    <w:rsid w:val="006536DD"/>
    <w:rsid w:val="0065419A"/>
    <w:rsid w:val="006570AA"/>
    <w:rsid w:val="006903FA"/>
    <w:rsid w:val="006A76A3"/>
    <w:rsid w:val="006C100E"/>
    <w:rsid w:val="006C13CC"/>
    <w:rsid w:val="00702068"/>
    <w:rsid w:val="007105E1"/>
    <w:rsid w:val="00723F95"/>
    <w:rsid w:val="00732FA3"/>
    <w:rsid w:val="0077677F"/>
    <w:rsid w:val="00795153"/>
    <w:rsid w:val="007B3614"/>
    <w:rsid w:val="0081265D"/>
    <w:rsid w:val="00832DD1"/>
    <w:rsid w:val="00853AEC"/>
    <w:rsid w:val="00855089"/>
    <w:rsid w:val="008560CF"/>
    <w:rsid w:val="008616D5"/>
    <w:rsid w:val="00885415"/>
    <w:rsid w:val="008911E6"/>
    <w:rsid w:val="009B5467"/>
    <w:rsid w:val="009C03DE"/>
    <w:rsid w:val="009D378F"/>
    <w:rsid w:val="00A038A9"/>
    <w:rsid w:val="00A062CB"/>
    <w:rsid w:val="00A06D44"/>
    <w:rsid w:val="00A36E74"/>
    <w:rsid w:val="00A5549B"/>
    <w:rsid w:val="00A654B2"/>
    <w:rsid w:val="00A70889"/>
    <w:rsid w:val="00A72A31"/>
    <w:rsid w:val="00A83D66"/>
    <w:rsid w:val="00A91557"/>
    <w:rsid w:val="00AB1B34"/>
    <w:rsid w:val="00B34906"/>
    <w:rsid w:val="00B8166F"/>
    <w:rsid w:val="00B96FB5"/>
    <w:rsid w:val="00BB4B5F"/>
    <w:rsid w:val="00BC37E4"/>
    <w:rsid w:val="00C0289B"/>
    <w:rsid w:val="00C12149"/>
    <w:rsid w:val="00C1272B"/>
    <w:rsid w:val="00C1455E"/>
    <w:rsid w:val="00C26FC8"/>
    <w:rsid w:val="00C45D26"/>
    <w:rsid w:val="00C561B7"/>
    <w:rsid w:val="00C6348A"/>
    <w:rsid w:val="00C96735"/>
    <w:rsid w:val="00CB56F1"/>
    <w:rsid w:val="00CC7335"/>
    <w:rsid w:val="00CC7DED"/>
    <w:rsid w:val="00CE40C6"/>
    <w:rsid w:val="00D13843"/>
    <w:rsid w:val="00DA113B"/>
    <w:rsid w:val="00DC09A4"/>
    <w:rsid w:val="00DC25CE"/>
    <w:rsid w:val="00E01A52"/>
    <w:rsid w:val="00E3032F"/>
    <w:rsid w:val="00EB0128"/>
    <w:rsid w:val="00EC705C"/>
    <w:rsid w:val="00F0627F"/>
    <w:rsid w:val="00F14C2B"/>
    <w:rsid w:val="00F15611"/>
    <w:rsid w:val="00F80EF8"/>
    <w:rsid w:val="00FC15C0"/>
    <w:rsid w:val="00FC335A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85602"/>
  <w15:chartTrackingRefBased/>
  <w15:docId w15:val="{5A940577-926E-1241-AC3D-7699DE02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73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137EF9"/>
    <w:pPr>
      <w:keepNext/>
      <w:tabs>
        <w:tab w:val="left" w:pos="980"/>
      </w:tabs>
      <w:ind w:right="-32"/>
      <w:jc w:val="both"/>
      <w:outlineLvl w:val="3"/>
    </w:pPr>
    <w:rPr>
      <w:rFonts w:ascii="Arial" w:eastAsia="Times New Roman" w:hAnsi="Arial" w:cs="Times New Roman"/>
      <w:b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889"/>
  </w:style>
  <w:style w:type="paragraph" w:styleId="Pieddepage">
    <w:name w:val="footer"/>
    <w:basedOn w:val="Normal"/>
    <w:link w:val="Pieddepag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889"/>
  </w:style>
  <w:style w:type="character" w:customStyle="1" w:styleId="Titre4Car">
    <w:name w:val="Titre 4 Car"/>
    <w:basedOn w:val="Policepardfaut"/>
    <w:link w:val="Titre4"/>
    <w:rsid w:val="00137EF9"/>
    <w:rPr>
      <w:rFonts w:ascii="Arial" w:eastAsia="Times New Roman" w:hAnsi="Arial" w:cs="Times New Roman"/>
      <w:b/>
      <w:szCs w:val="20"/>
      <w:u w:val="single"/>
      <w:lang w:eastAsia="fr-FR"/>
    </w:rPr>
  </w:style>
  <w:style w:type="paragraph" w:styleId="Textebrut">
    <w:name w:val="Plain Text"/>
    <w:basedOn w:val="Normal"/>
    <w:link w:val="TextebrutCar"/>
    <w:unhideWhenUsed/>
    <w:rsid w:val="00DC25CE"/>
    <w:rPr>
      <w:rFonts w:ascii="Arial" w:eastAsia="Calibri" w:hAnsi="Arial" w:cs="Times New Roman"/>
      <w:sz w:val="16"/>
      <w:szCs w:val="21"/>
    </w:rPr>
  </w:style>
  <w:style w:type="character" w:customStyle="1" w:styleId="TextebrutCar">
    <w:name w:val="Texte brut Car"/>
    <w:basedOn w:val="Policepardfaut"/>
    <w:link w:val="Textebrut"/>
    <w:rsid w:val="00DC25CE"/>
    <w:rPr>
      <w:rFonts w:ascii="Arial" w:eastAsia="Calibri" w:hAnsi="Arial" w:cs="Times New Roman"/>
      <w:sz w:val="16"/>
      <w:szCs w:val="21"/>
    </w:rPr>
  </w:style>
  <w:style w:type="paragraph" w:styleId="Sansinterligne">
    <w:name w:val="No Spacing"/>
    <w:qFormat/>
    <w:rsid w:val="00DC25CE"/>
    <w:rPr>
      <w:rFonts w:ascii="Calibri" w:eastAsia="Calibri" w:hAnsi="Calibri" w:cs="Times New Roman"/>
      <w:sz w:val="22"/>
      <w:szCs w:val="22"/>
    </w:rPr>
  </w:style>
  <w:style w:type="paragraph" w:styleId="Titre">
    <w:name w:val="Title"/>
    <w:basedOn w:val="Normal"/>
    <w:link w:val="TitreCar"/>
    <w:qFormat/>
    <w:rsid w:val="00DC25CE"/>
    <w:pPr>
      <w:jc w:val="center"/>
    </w:pPr>
    <w:rPr>
      <w:rFonts w:ascii="Verdana" w:eastAsia="Times New Roman" w:hAnsi="Verdana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DC25CE"/>
    <w:rPr>
      <w:rFonts w:ascii="Verdana" w:eastAsia="Times New Roman" w:hAnsi="Verdana" w:cs="Times New Roman"/>
      <w:b/>
      <w:bCs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2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6ECF5-FAF5-9647-AAA1-AB31978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DECUYPER, Camille</cp:lastModifiedBy>
  <cp:revision>81</cp:revision>
  <dcterms:created xsi:type="dcterms:W3CDTF">2021-07-11T15:45:00Z</dcterms:created>
  <dcterms:modified xsi:type="dcterms:W3CDTF">2024-07-09T07:47:00Z</dcterms:modified>
</cp:coreProperties>
</file>